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0B" w:rsidRDefault="00AB7E1D" w:rsidP="00AB7E1D">
      <w:pPr>
        <w:jc w:val="center"/>
        <w:rPr>
          <w:rtl/>
        </w:rPr>
      </w:pPr>
      <w:r>
        <w:rPr>
          <w:rFonts w:hint="cs"/>
          <w:rtl/>
        </w:rPr>
        <w:t>بسمه تعالی</w:t>
      </w:r>
    </w:p>
    <w:p w:rsidR="00AB7E1D" w:rsidRDefault="00BD7609" w:rsidP="005E468C">
      <w:pPr>
        <w:jc w:val="center"/>
        <w:rPr>
          <w:rtl/>
        </w:rPr>
      </w:pPr>
      <w:r>
        <w:rPr>
          <w:rFonts w:hint="cs"/>
          <w:rtl/>
        </w:rPr>
        <w:t xml:space="preserve">پایان نامه های </w:t>
      </w:r>
      <w:r w:rsidR="008E61DE">
        <w:rPr>
          <w:rFonts w:hint="cs"/>
          <w:rtl/>
        </w:rPr>
        <w:t>شعبه بین الملل</w:t>
      </w:r>
      <w:r>
        <w:rPr>
          <w:rFonts w:hint="cs"/>
          <w:rtl/>
        </w:rPr>
        <w:t xml:space="preserve"> در سال 1394</w:t>
      </w:r>
    </w:p>
    <w:tbl>
      <w:tblPr>
        <w:tblStyle w:val="TableGrid"/>
        <w:bidiVisual/>
        <w:tblW w:w="11316" w:type="dxa"/>
        <w:tblInd w:w="-1072" w:type="dxa"/>
        <w:tblLook w:val="04A0"/>
      </w:tblPr>
      <w:tblGrid>
        <w:gridCol w:w="554"/>
        <w:gridCol w:w="1115"/>
        <w:gridCol w:w="21"/>
        <w:gridCol w:w="1108"/>
        <w:gridCol w:w="28"/>
        <w:gridCol w:w="847"/>
        <w:gridCol w:w="5080"/>
        <w:gridCol w:w="2446"/>
        <w:gridCol w:w="117"/>
      </w:tblGrid>
      <w:tr w:rsidR="00AB7E1D" w:rsidTr="009C2243">
        <w:trPr>
          <w:gridAfter w:val="1"/>
          <w:wAfter w:w="117" w:type="dxa"/>
        </w:trPr>
        <w:tc>
          <w:tcPr>
            <w:tcW w:w="554" w:type="dxa"/>
          </w:tcPr>
          <w:p w:rsidR="00AB7E1D" w:rsidRPr="00AB7E1D" w:rsidRDefault="00AB7E1D" w:rsidP="00AB7E1D">
            <w:pPr>
              <w:jc w:val="center"/>
              <w:rPr>
                <w:sz w:val="20"/>
                <w:szCs w:val="20"/>
                <w:rtl/>
              </w:rPr>
            </w:pPr>
            <w:r>
              <w:rPr>
                <w:rFonts w:hint="cs"/>
                <w:sz w:val="20"/>
                <w:szCs w:val="20"/>
                <w:rtl/>
              </w:rPr>
              <w:t>ردیف</w:t>
            </w:r>
          </w:p>
        </w:tc>
        <w:tc>
          <w:tcPr>
            <w:tcW w:w="1115" w:type="dxa"/>
          </w:tcPr>
          <w:p w:rsidR="00AB7E1D" w:rsidRPr="00AB7E1D" w:rsidRDefault="00AB7E1D" w:rsidP="00AB7E1D">
            <w:pPr>
              <w:jc w:val="center"/>
              <w:rPr>
                <w:sz w:val="20"/>
                <w:szCs w:val="20"/>
                <w:rtl/>
              </w:rPr>
            </w:pPr>
            <w:r>
              <w:rPr>
                <w:rFonts w:hint="cs"/>
                <w:sz w:val="20"/>
                <w:szCs w:val="20"/>
                <w:rtl/>
              </w:rPr>
              <w:t>تاریخ</w:t>
            </w:r>
          </w:p>
        </w:tc>
        <w:tc>
          <w:tcPr>
            <w:tcW w:w="1129" w:type="dxa"/>
            <w:gridSpan w:val="2"/>
            <w:tcBorders>
              <w:right w:val="single" w:sz="4" w:space="0" w:color="auto"/>
            </w:tcBorders>
          </w:tcPr>
          <w:p w:rsidR="00AB7E1D" w:rsidRPr="00AB7E1D" w:rsidRDefault="00AB7E1D" w:rsidP="00AB7E1D">
            <w:pPr>
              <w:jc w:val="center"/>
              <w:rPr>
                <w:sz w:val="20"/>
                <w:szCs w:val="20"/>
                <w:rtl/>
              </w:rPr>
            </w:pPr>
            <w:r>
              <w:rPr>
                <w:rFonts w:hint="cs"/>
                <w:sz w:val="20"/>
                <w:szCs w:val="20"/>
                <w:rtl/>
              </w:rPr>
              <w:t>نام و نام خانوادگی</w:t>
            </w:r>
          </w:p>
        </w:tc>
        <w:tc>
          <w:tcPr>
            <w:tcW w:w="875" w:type="dxa"/>
            <w:gridSpan w:val="2"/>
            <w:tcBorders>
              <w:left w:val="single" w:sz="4" w:space="0" w:color="auto"/>
            </w:tcBorders>
          </w:tcPr>
          <w:p w:rsidR="00AB7E1D" w:rsidRPr="00AB7E1D" w:rsidRDefault="00AB7E1D" w:rsidP="00AB7E1D">
            <w:pPr>
              <w:jc w:val="center"/>
              <w:rPr>
                <w:sz w:val="20"/>
                <w:szCs w:val="20"/>
                <w:rtl/>
              </w:rPr>
            </w:pPr>
            <w:r>
              <w:rPr>
                <w:rFonts w:hint="cs"/>
                <w:sz w:val="20"/>
                <w:szCs w:val="20"/>
                <w:rtl/>
              </w:rPr>
              <w:t>استاد راهنما</w:t>
            </w:r>
          </w:p>
        </w:tc>
        <w:tc>
          <w:tcPr>
            <w:tcW w:w="7526" w:type="dxa"/>
            <w:gridSpan w:val="2"/>
          </w:tcPr>
          <w:p w:rsidR="00AB7E1D" w:rsidRPr="00AB7E1D" w:rsidRDefault="00AB7E1D" w:rsidP="00AB7E1D">
            <w:pPr>
              <w:jc w:val="center"/>
              <w:rPr>
                <w:sz w:val="20"/>
                <w:szCs w:val="20"/>
                <w:rtl/>
              </w:rPr>
            </w:pPr>
            <w:r>
              <w:rPr>
                <w:rFonts w:hint="cs"/>
                <w:sz w:val="20"/>
                <w:szCs w:val="20"/>
                <w:rtl/>
              </w:rPr>
              <w:t>عنوان پایان نامه</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1</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1394/1/23</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شهناز زمانی برجسته</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مقدم تبریزی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مداخله ای با محوریت بحث گروهی مبتنی بر خود کار آمدی بر نگرانی های سلامتی دختران نوجوان 18-15 مدارس شهر ارومیه در سال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2</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1394/2/6</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رامونا رضوی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خانم محدثی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مشاوره با رویکرد ارائه اطلاعات بر سبک زندگی ارتقا دهنده سلامت در مادران با دیابت حاملگی مراجعه کننده به درمانگاه پری ناتولوژی بیمارستان شهید مطهری شهر ارومیه در سال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3</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1394/3/3</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پریناز علیپور</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مقدم تبریزی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کلاسهای آمادگی برای زایمان بر استرس درک شده و خودکارامدی مادران باردار مراجعه کننده به پلی کلینیک حضرت فاطمه زهرا (س) تامین اجتماعی ارومیه در سال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4</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1394/4/29</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لاله محمود نژاد</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خانم محدثی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مشاوره دوران بارداری بر مشکلات سلامتی بعد از زایمان در مراجعین به مراکز بهداشتی درمانی ارومیه سال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5</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1394/5/4</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لیلا نجفی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مقدم تبریزی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حمایت عاطفی همتا محور بر میزان رفتارهای ارتقا دهنده سلامتی در زنان مبتلا به سرطان پستان در مراکز درمانی ارومیه در سال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6</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1394/5/11</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حسن خورده فروش</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آقای رحمانی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برنامه مراقبت پرستاری تدوین شده قبل از عمل بر اضطراب بیماران تحت عمل جراحی قلب در مرکز آموزشی درمانی سیدالشهدا ارومیه</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7</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1394/6/1</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سیران گلجبینی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همتی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اجرای آموزش مبتنی بر دستورالعمل بالینی بر عملکرد پرستاران در پیشگیری از پنومونی در مرکز آموزشی درمانی امام خمینی و طالقانی ارومیه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8</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1394/6/22</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خاطره الماسی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بقایی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رعایت استانداردهای اعتبار بخشی در بخش های ویژه مراکز آموزشی درمانی دانشگاه علوم پزشکی ارومیه در سال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9</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1394/7/12</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زهرا مرقاتی خویی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همتی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تاثیر مداخله آموزشی مبتنی بر مدل بزنف بر سبک زندگی بیماران مبتلا به نارسایی قلبی مراجعه کننده به بیمارستان خاتم الانبیاء سلماس در سال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10</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1394/7/12</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یوسف لطفی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فیضی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فراوانی تداخلات دارویی شدید در شیمی درمانی بیماران سالمند مبتلا به سرطان در بیماران مراجعه کننده به مرکز پژوهشی درمانی امید ارومیه در سال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11</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1394/9/8</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عثمان سلیمانی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آقاخانی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آموزش غیر حضوری بر دانش و عملکرد پرستاران شاغل در بخش مراقبت های ویژه در زمینه رعایت استانداردهای گاواژ در مراکز آموزشی درمانی ارومیه در سال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12</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1394/8/3</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نایافت کریمی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ربیعی پور</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مداخله مشاوره محور بر میزان استرس در زنان کاندید آمنیوسنتز مراجعه کننده به مرکز آموزشی درمانی مطهری شهر ارومیه در سال 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13</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1394/8/3</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بهروز رضایی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همتی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مقایسه ای تاثیر دو روش بحث گروهی مبتنی بر سبک زندگی سالم خانواده و بیمار محور بر کنترل پرفشاری خون در بیماران مراجعه کننده به مرکز اموزشی و درمانی فوق تخصصی قلب سیدالشهدای ارومیه در سال 1395-1394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14</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1394/9/8</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آزاده روفچایی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همتی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اجرای برنامه مراقبتی بر اساس الگوی سازگاری روی بر کیفیت زندگی نوجوانان پسر مبتلا به هموفیلی عضو مرکز درمان جامع هموفیلی ایران در سال 1395-1394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15</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1394/9/15</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سکینه رضایی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بقایی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اجرای مدل ترخیص ایده ال و روند بستری مجدد بیماران مبتلا به سکته قلبی در بیمارستان شهید مدنی خوی 1395-1394</w:t>
            </w:r>
          </w:p>
        </w:tc>
      </w:tr>
      <w:tr w:rsidR="0026099C" w:rsidTr="009C2243">
        <w:trPr>
          <w:gridAfter w:val="1"/>
          <w:wAfter w:w="117" w:type="dxa"/>
        </w:trPr>
        <w:tc>
          <w:tcPr>
            <w:tcW w:w="554" w:type="dxa"/>
          </w:tcPr>
          <w:p w:rsidR="0026099C" w:rsidRPr="005D0147" w:rsidRDefault="0026099C" w:rsidP="00AB7E1D">
            <w:pPr>
              <w:jc w:val="center"/>
              <w:rPr>
                <w:sz w:val="18"/>
                <w:szCs w:val="18"/>
                <w:rtl/>
              </w:rPr>
            </w:pPr>
            <w:r w:rsidRPr="005D0147">
              <w:rPr>
                <w:rFonts w:hint="cs"/>
                <w:sz w:val="18"/>
                <w:szCs w:val="18"/>
                <w:rtl/>
              </w:rPr>
              <w:t>16</w:t>
            </w:r>
          </w:p>
        </w:tc>
        <w:tc>
          <w:tcPr>
            <w:tcW w:w="1115" w:type="dxa"/>
            <w:vAlign w:val="center"/>
          </w:tcPr>
          <w:p w:rsidR="0026099C" w:rsidRPr="005D0147" w:rsidRDefault="0026099C">
            <w:pPr>
              <w:bidi w:val="0"/>
              <w:jc w:val="center"/>
              <w:rPr>
                <w:rFonts w:ascii="Arial" w:hAnsi="Arial"/>
                <w:color w:val="000000"/>
                <w:sz w:val="18"/>
                <w:szCs w:val="18"/>
              </w:rPr>
            </w:pPr>
            <w:r w:rsidRPr="005D0147">
              <w:rPr>
                <w:rFonts w:ascii="Arial" w:hAnsi="Arial" w:hint="cs"/>
                <w:color w:val="000000"/>
                <w:sz w:val="18"/>
                <w:szCs w:val="18"/>
              </w:rPr>
              <w:t>1394/9/29</w:t>
            </w:r>
          </w:p>
        </w:tc>
        <w:tc>
          <w:tcPr>
            <w:tcW w:w="1129" w:type="dxa"/>
            <w:gridSpan w:val="2"/>
            <w:tcBorders>
              <w:righ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بابک علیشاهی</w:t>
            </w:r>
          </w:p>
        </w:tc>
        <w:tc>
          <w:tcPr>
            <w:tcW w:w="875" w:type="dxa"/>
            <w:gridSpan w:val="2"/>
            <w:tcBorders>
              <w:left w:val="single" w:sz="4" w:space="0" w:color="auto"/>
            </w:tcBorders>
            <w:vAlign w:val="center"/>
          </w:tcPr>
          <w:p w:rsidR="0026099C" w:rsidRPr="005D0147" w:rsidRDefault="0026099C">
            <w:pPr>
              <w:jc w:val="center"/>
              <w:rPr>
                <w:rFonts w:ascii="Arial" w:hAnsi="Arial"/>
                <w:color w:val="000000"/>
                <w:sz w:val="18"/>
                <w:szCs w:val="18"/>
              </w:rPr>
            </w:pPr>
            <w:r w:rsidRPr="005D0147">
              <w:rPr>
                <w:rFonts w:ascii="Arial" w:hAnsi="Arial" w:hint="cs"/>
                <w:color w:val="000000"/>
                <w:sz w:val="18"/>
                <w:szCs w:val="18"/>
                <w:rtl/>
              </w:rPr>
              <w:t>دکتر همتی</w:t>
            </w:r>
          </w:p>
        </w:tc>
        <w:tc>
          <w:tcPr>
            <w:tcW w:w="7526" w:type="dxa"/>
            <w:gridSpan w:val="2"/>
            <w:vAlign w:val="center"/>
          </w:tcPr>
          <w:p w:rsidR="0026099C" w:rsidRPr="005D0147" w:rsidRDefault="0026099C">
            <w:pPr>
              <w:rPr>
                <w:rFonts w:ascii="Arial" w:hAnsi="Arial"/>
                <w:color w:val="000000"/>
                <w:sz w:val="18"/>
                <w:szCs w:val="18"/>
              </w:rPr>
            </w:pPr>
            <w:r w:rsidRPr="005D0147">
              <w:rPr>
                <w:rFonts w:ascii="Arial" w:hAnsi="Arial" w:hint="cs"/>
                <w:color w:val="000000"/>
                <w:sz w:val="18"/>
                <w:szCs w:val="18"/>
                <w:rtl/>
              </w:rPr>
              <w:t>بررسی تاثیر اجرای الگوی ارتباطات بین فردی پپلا بر استرس، افسردگی و اضطراب مرگ در بیماران تحت همودیالیز مراجعه کننده به مراکز آموزشی-درمانی شهر ارومیه سال 1395</w:t>
            </w:r>
          </w:p>
        </w:tc>
      </w:tr>
      <w:tr w:rsidR="0026099C" w:rsidTr="009C2243">
        <w:trPr>
          <w:gridAfter w:val="1"/>
          <w:wAfter w:w="117" w:type="dxa"/>
        </w:trPr>
        <w:tc>
          <w:tcPr>
            <w:tcW w:w="554" w:type="dxa"/>
          </w:tcPr>
          <w:p w:rsidR="0026099C" w:rsidRPr="005D0147" w:rsidRDefault="008D6818" w:rsidP="00AB7E1D">
            <w:pPr>
              <w:jc w:val="center"/>
              <w:rPr>
                <w:sz w:val="18"/>
                <w:szCs w:val="18"/>
                <w:rtl/>
              </w:rPr>
            </w:pPr>
            <w:r w:rsidRPr="005D0147">
              <w:rPr>
                <w:rFonts w:hint="cs"/>
                <w:sz w:val="18"/>
                <w:szCs w:val="18"/>
                <w:rtl/>
              </w:rPr>
              <w:t>17</w:t>
            </w:r>
          </w:p>
        </w:tc>
        <w:tc>
          <w:tcPr>
            <w:tcW w:w="1115" w:type="dxa"/>
            <w:vAlign w:val="center"/>
          </w:tcPr>
          <w:p w:rsidR="0026099C" w:rsidRPr="005D0147" w:rsidRDefault="008D6818">
            <w:pPr>
              <w:bidi w:val="0"/>
              <w:jc w:val="center"/>
              <w:rPr>
                <w:rFonts w:ascii="Arial" w:hAnsi="Arial"/>
                <w:color w:val="000000"/>
                <w:sz w:val="18"/>
                <w:szCs w:val="18"/>
              </w:rPr>
            </w:pPr>
            <w:r w:rsidRPr="005D0147">
              <w:rPr>
                <w:rFonts w:ascii="Arial" w:hAnsi="Arial"/>
                <w:color w:val="000000"/>
                <w:sz w:val="18"/>
                <w:szCs w:val="18"/>
              </w:rPr>
              <w:t>94/11/11</w:t>
            </w:r>
          </w:p>
        </w:tc>
        <w:tc>
          <w:tcPr>
            <w:tcW w:w="1129" w:type="dxa"/>
            <w:gridSpan w:val="2"/>
            <w:tcBorders>
              <w:right w:val="single" w:sz="4" w:space="0" w:color="auto"/>
            </w:tcBorders>
            <w:vAlign w:val="center"/>
          </w:tcPr>
          <w:p w:rsidR="0026099C" w:rsidRPr="005D0147" w:rsidRDefault="008D6818">
            <w:pPr>
              <w:jc w:val="center"/>
              <w:rPr>
                <w:rFonts w:ascii="Arial" w:hAnsi="Arial"/>
                <w:color w:val="000000"/>
                <w:sz w:val="18"/>
                <w:szCs w:val="18"/>
              </w:rPr>
            </w:pPr>
            <w:r w:rsidRPr="005D0147">
              <w:rPr>
                <w:rFonts w:ascii="Arial" w:hAnsi="Arial" w:hint="cs"/>
                <w:color w:val="000000"/>
                <w:sz w:val="18"/>
                <w:szCs w:val="18"/>
                <w:rtl/>
              </w:rPr>
              <w:t>بلال باباخانی</w:t>
            </w:r>
          </w:p>
        </w:tc>
        <w:tc>
          <w:tcPr>
            <w:tcW w:w="875" w:type="dxa"/>
            <w:gridSpan w:val="2"/>
            <w:tcBorders>
              <w:left w:val="single" w:sz="4" w:space="0" w:color="auto"/>
            </w:tcBorders>
            <w:vAlign w:val="center"/>
          </w:tcPr>
          <w:p w:rsidR="0026099C" w:rsidRPr="005D0147" w:rsidRDefault="008D6818">
            <w:pPr>
              <w:jc w:val="center"/>
              <w:rPr>
                <w:rFonts w:ascii="Arial" w:hAnsi="Arial"/>
                <w:color w:val="000000"/>
                <w:sz w:val="18"/>
                <w:szCs w:val="18"/>
              </w:rPr>
            </w:pPr>
            <w:r w:rsidRPr="005D0147">
              <w:rPr>
                <w:rFonts w:ascii="Arial" w:hAnsi="Arial" w:hint="cs"/>
                <w:color w:val="000000"/>
                <w:sz w:val="18"/>
                <w:szCs w:val="18"/>
                <w:rtl/>
              </w:rPr>
              <w:t>دکتر حبیب زاده</w:t>
            </w:r>
          </w:p>
        </w:tc>
        <w:tc>
          <w:tcPr>
            <w:tcW w:w="7526" w:type="dxa"/>
            <w:gridSpan w:val="2"/>
            <w:vAlign w:val="center"/>
          </w:tcPr>
          <w:p w:rsidR="0026099C" w:rsidRPr="005D0147" w:rsidRDefault="008D6818">
            <w:pPr>
              <w:rPr>
                <w:rFonts w:ascii="Arial" w:hAnsi="Arial"/>
                <w:color w:val="000000"/>
                <w:sz w:val="18"/>
                <w:szCs w:val="18"/>
              </w:rPr>
            </w:pPr>
            <w:r w:rsidRPr="005D0147">
              <w:rPr>
                <w:rFonts w:ascii="Arial" w:hAnsi="Arial" w:hint="cs"/>
                <w:color w:val="000000"/>
                <w:sz w:val="18"/>
                <w:szCs w:val="18"/>
                <w:rtl/>
              </w:rPr>
              <w:t>بررسی تاثیر اجرای الگوی خودمراقبتی اورم بر فعالیت های روزانه زندگی در بیماران مزمن انسدادی ریوی بستری در مراکز آموزشی درمانی دانشگاه علوم پزشکی ارومیه در سال 1394</w:t>
            </w:r>
          </w:p>
        </w:tc>
      </w:tr>
      <w:tr w:rsidR="008D6818" w:rsidTr="009C2243">
        <w:trPr>
          <w:gridAfter w:val="1"/>
          <w:wAfter w:w="117" w:type="dxa"/>
        </w:trPr>
        <w:tc>
          <w:tcPr>
            <w:tcW w:w="554" w:type="dxa"/>
          </w:tcPr>
          <w:p w:rsidR="008D6818" w:rsidRPr="005D0147" w:rsidRDefault="008D6818" w:rsidP="00AB7E1D">
            <w:pPr>
              <w:jc w:val="center"/>
              <w:rPr>
                <w:sz w:val="18"/>
                <w:szCs w:val="18"/>
                <w:rtl/>
              </w:rPr>
            </w:pPr>
            <w:r w:rsidRPr="005D0147">
              <w:rPr>
                <w:rFonts w:hint="cs"/>
                <w:sz w:val="18"/>
                <w:szCs w:val="18"/>
                <w:rtl/>
              </w:rPr>
              <w:t>18</w:t>
            </w:r>
          </w:p>
        </w:tc>
        <w:tc>
          <w:tcPr>
            <w:tcW w:w="1115" w:type="dxa"/>
            <w:vAlign w:val="center"/>
          </w:tcPr>
          <w:p w:rsidR="008D6818" w:rsidRPr="005D0147" w:rsidRDefault="008D6818">
            <w:pPr>
              <w:bidi w:val="0"/>
              <w:jc w:val="center"/>
              <w:rPr>
                <w:rFonts w:ascii="Arial" w:hAnsi="Arial"/>
                <w:color w:val="000000"/>
                <w:sz w:val="18"/>
                <w:szCs w:val="18"/>
              </w:rPr>
            </w:pPr>
            <w:r w:rsidRPr="005D0147">
              <w:rPr>
                <w:rFonts w:ascii="Arial" w:hAnsi="Arial"/>
                <w:color w:val="000000"/>
                <w:sz w:val="18"/>
                <w:szCs w:val="18"/>
              </w:rPr>
              <w:t>94/12/16</w:t>
            </w:r>
          </w:p>
        </w:tc>
        <w:tc>
          <w:tcPr>
            <w:tcW w:w="1129" w:type="dxa"/>
            <w:gridSpan w:val="2"/>
            <w:tcBorders>
              <w:right w:val="single" w:sz="4" w:space="0" w:color="auto"/>
            </w:tcBorders>
            <w:vAlign w:val="center"/>
          </w:tcPr>
          <w:p w:rsidR="008D6818" w:rsidRPr="005D0147" w:rsidRDefault="008D6818">
            <w:pPr>
              <w:jc w:val="center"/>
              <w:rPr>
                <w:rFonts w:ascii="Arial" w:hAnsi="Arial"/>
                <w:color w:val="000000"/>
                <w:sz w:val="18"/>
                <w:szCs w:val="18"/>
              </w:rPr>
            </w:pPr>
            <w:r w:rsidRPr="005D0147">
              <w:rPr>
                <w:rFonts w:ascii="Arial" w:hAnsi="Arial" w:hint="cs"/>
                <w:color w:val="000000"/>
                <w:sz w:val="18"/>
                <w:szCs w:val="18"/>
                <w:rtl/>
              </w:rPr>
              <w:t>سولماز حبیب زاده</w:t>
            </w:r>
          </w:p>
        </w:tc>
        <w:tc>
          <w:tcPr>
            <w:tcW w:w="875" w:type="dxa"/>
            <w:gridSpan w:val="2"/>
            <w:tcBorders>
              <w:left w:val="single" w:sz="4" w:space="0" w:color="auto"/>
            </w:tcBorders>
            <w:vAlign w:val="center"/>
          </w:tcPr>
          <w:p w:rsidR="008D6818" w:rsidRPr="005D0147" w:rsidRDefault="008D6818" w:rsidP="00990B77">
            <w:pPr>
              <w:jc w:val="center"/>
              <w:rPr>
                <w:rFonts w:ascii="Arial" w:hAnsi="Arial"/>
                <w:color w:val="000000"/>
                <w:sz w:val="18"/>
                <w:szCs w:val="18"/>
              </w:rPr>
            </w:pPr>
            <w:r w:rsidRPr="005D0147">
              <w:rPr>
                <w:rFonts w:ascii="Arial" w:hAnsi="Arial" w:hint="cs"/>
                <w:color w:val="000000"/>
                <w:sz w:val="18"/>
                <w:szCs w:val="18"/>
                <w:rtl/>
              </w:rPr>
              <w:t>دکتر آقاخانی</w:t>
            </w:r>
          </w:p>
        </w:tc>
        <w:tc>
          <w:tcPr>
            <w:tcW w:w="7526" w:type="dxa"/>
            <w:gridSpan w:val="2"/>
            <w:vAlign w:val="center"/>
          </w:tcPr>
          <w:p w:rsidR="008D6818" w:rsidRPr="005D0147" w:rsidRDefault="0015215C">
            <w:pPr>
              <w:rPr>
                <w:rFonts w:ascii="Arial" w:hAnsi="Arial"/>
                <w:color w:val="000000"/>
                <w:sz w:val="18"/>
                <w:szCs w:val="18"/>
              </w:rPr>
            </w:pPr>
            <w:r w:rsidRPr="005D0147">
              <w:rPr>
                <w:rFonts w:ascii="Arial" w:hAnsi="Arial" w:hint="cs"/>
                <w:color w:val="000000"/>
                <w:sz w:val="18"/>
                <w:szCs w:val="18"/>
                <w:rtl/>
              </w:rPr>
              <w:t xml:space="preserve">بررسی تاثیر آموزش خودمراقبتی در منزل </w:t>
            </w:r>
            <w:r w:rsidR="00A82667">
              <w:rPr>
                <w:rFonts w:ascii="Arial" w:hAnsi="Arial" w:hint="cs"/>
                <w:color w:val="000000"/>
                <w:sz w:val="18"/>
                <w:szCs w:val="18"/>
                <w:rtl/>
              </w:rPr>
              <w:t>بر کیفیت زندگی بیماران همودیالیز</w:t>
            </w:r>
            <w:r w:rsidRPr="005D0147">
              <w:rPr>
                <w:rFonts w:ascii="Arial" w:hAnsi="Arial" w:hint="cs"/>
                <w:color w:val="000000"/>
                <w:sz w:val="18"/>
                <w:szCs w:val="18"/>
                <w:rtl/>
              </w:rPr>
              <w:t>ی مراجعه کننده به مرکز آموزشی و درمانی بوعلی اردبیل در سال 95</w:t>
            </w:r>
            <w:r w:rsidRPr="005D0147">
              <w:rPr>
                <w:rFonts w:hint="cs"/>
                <w:sz w:val="18"/>
                <w:szCs w:val="18"/>
                <w:rtl/>
              </w:rPr>
              <w:t xml:space="preserve">  </w:t>
            </w:r>
          </w:p>
        </w:tc>
      </w:tr>
      <w:tr w:rsidR="008D6818" w:rsidTr="009C2243">
        <w:trPr>
          <w:gridAfter w:val="1"/>
          <w:wAfter w:w="117" w:type="dxa"/>
        </w:trPr>
        <w:tc>
          <w:tcPr>
            <w:tcW w:w="554" w:type="dxa"/>
          </w:tcPr>
          <w:p w:rsidR="008D6818" w:rsidRPr="005D0147" w:rsidRDefault="003C44C8" w:rsidP="00AB7E1D">
            <w:pPr>
              <w:jc w:val="center"/>
              <w:rPr>
                <w:sz w:val="18"/>
                <w:szCs w:val="18"/>
                <w:rtl/>
              </w:rPr>
            </w:pPr>
            <w:r>
              <w:rPr>
                <w:rFonts w:hint="cs"/>
                <w:sz w:val="18"/>
                <w:szCs w:val="18"/>
                <w:rtl/>
              </w:rPr>
              <w:t>19</w:t>
            </w:r>
          </w:p>
        </w:tc>
        <w:tc>
          <w:tcPr>
            <w:tcW w:w="1115" w:type="dxa"/>
            <w:vAlign w:val="center"/>
          </w:tcPr>
          <w:p w:rsidR="008D6818" w:rsidRPr="003C44C8" w:rsidRDefault="003C44C8">
            <w:pPr>
              <w:bidi w:val="0"/>
              <w:jc w:val="center"/>
              <w:rPr>
                <w:sz w:val="18"/>
                <w:szCs w:val="18"/>
              </w:rPr>
            </w:pPr>
            <w:r w:rsidRPr="003C44C8">
              <w:rPr>
                <w:sz w:val="18"/>
                <w:szCs w:val="18"/>
              </w:rPr>
              <w:t>94/12/17</w:t>
            </w:r>
          </w:p>
        </w:tc>
        <w:tc>
          <w:tcPr>
            <w:tcW w:w="1129" w:type="dxa"/>
            <w:gridSpan w:val="2"/>
            <w:tcBorders>
              <w:right w:val="single" w:sz="4" w:space="0" w:color="auto"/>
            </w:tcBorders>
            <w:vAlign w:val="center"/>
          </w:tcPr>
          <w:p w:rsidR="008D6818" w:rsidRPr="003C44C8" w:rsidRDefault="003C44C8">
            <w:pPr>
              <w:jc w:val="center"/>
              <w:rPr>
                <w:sz w:val="18"/>
                <w:szCs w:val="18"/>
              </w:rPr>
            </w:pPr>
            <w:r w:rsidRPr="003C44C8">
              <w:rPr>
                <w:rFonts w:hint="cs"/>
                <w:sz w:val="18"/>
                <w:szCs w:val="18"/>
                <w:rtl/>
              </w:rPr>
              <w:t>ندا محمد زاده</w:t>
            </w:r>
          </w:p>
        </w:tc>
        <w:tc>
          <w:tcPr>
            <w:tcW w:w="875" w:type="dxa"/>
            <w:gridSpan w:val="2"/>
            <w:tcBorders>
              <w:left w:val="single" w:sz="4" w:space="0" w:color="auto"/>
            </w:tcBorders>
            <w:vAlign w:val="center"/>
          </w:tcPr>
          <w:p w:rsidR="008D6818" w:rsidRPr="003C44C8" w:rsidRDefault="003C44C8">
            <w:pPr>
              <w:jc w:val="center"/>
              <w:rPr>
                <w:sz w:val="18"/>
                <w:szCs w:val="18"/>
              </w:rPr>
            </w:pPr>
            <w:r w:rsidRPr="003C44C8">
              <w:rPr>
                <w:rFonts w:hint="cs"/>
                <w:sz w:val="18"/>
                <w:szCs w:val="18"/>
                <w:rtl/>
              </w:rPr>
              <w:t>دکتربقایی</w:t>
            </w:r>
          </w:p>
        </w:tc>
        <w:tc>
          <w:tcPr>
            <w:tcW w:w="7526" w:type="dxa"/>
            <w:gridSpan w:val="2"/>
            <w:vAlign w:val="center"/>
          </w:tcPr>
          <w:p w:rsidR="008D6818" w:rsidRPr="003C44C8" w:rsidRDefault="003C44C8">
            <w:pPr>
              <w:rPr>
                <w:sz w:val="18"/>
                <w:szCs w:val="18"/>
              </w:rPr>
            </w:pPr>
            <w:r w:rsidRPr="003C44C8">
              <w:rPr>
                <w:rFonts w:hint="cs"/>
                <w:sz w:val="18"/>
                <w:szCs w:val="18"/>
                <w:rtl/>
              </w:rPr>
              <w:t>بررسی تاثیر آموزش مراقبت خانواده محور بر فراوانی بستری مجدد بیماران مبتلا به بیماری انسدادی مزمن ریه بستری در مراکز آموزشی درمانی دانشگاه علوم پزشکی ارومیه 1395</w:t>
            </w:r>
          </w:p>
        </w:tc>
      </w:tr>
      <w:tr w:rsidR="008D6818" w:rsidTr="009C2243">
        <w:trPr>
          <w:gridAfter w:val="1"/>
          <w:wAfter w:w="117" w:type="dxa"/>
        </w:trPr>
        <w:tc>
          <w:tcPr>
            <w:tcW w:w="554" w:type="dxa"/>
          </w:tcPr>
          <w:p w:rsidR="008D6818" w:rsidRPr="005D0147" w:rsidRDefault="008D6818" w:rsidP="00AB7E1D">
            <w:pPr>
              <w:jc w:val="center"/>
              <w:rPr>
                <w:sz w:val="18"/>
                <w:szCs w:val="18"/>
                <w:rtl/>
              </w:rPr>
            </w:pPr>
          </w:p>
        </w:tc>
        <w:tc>
          <w:tcPr>
            <w:tcW w:w="1115" w:type="dxa"/>
            <w:vAlign w:val="center"/>
          </w:tcPr>
          <w:p w:rsidR="008D6818" w:rsidRPr="003C44C8" w:rsidRDefault="008D6818">
            <w:pPr>
              <w:bidi w:val="0"/>
              <w:jc w:val="center"/>
              <w:rPr>
                <w:sz w:val="18"/>
                <w:szCs w:val="18"/>
              </w:rPr>
            </w:pPr>
          </w:p>
        </w:tc>
        <w:tc>
          <w:tcPr>
            <w:tcW w:w="1129" w:type="dxa"/>
            <w:gridSpan w:val="2"/>
            <w:tcBorders>
              <w:right w:val="single" w:sz="4" w:space="0" w:color="auto"/>
            </w:tcBorders>
            <w:vAlign w:val="center"/>
          </w:tcPr>
          <w:p w:rsidR="008D6818" w:rsidRPr="003C44C8" w:rsidRDefault="008D6818">
            <w:pPr>
              <w:jc w:val="center"/>
              <w:rPr>
                <w:sz w:val="18"/>
                <w:szCs w:val="18"/>
              </w:rPr>
            </w:pPr>
          </w:p>
        </w:tc>
        <w:tc>
          <w:tcPr>
            <w:tcW w:w="875" w:type="dxa"/>
            <w:gridSpan w:val="2"/>
            <w:tcBorders>
              <w:left w:val="single" w:sz="4" w:space="0" w:color="auto"/>
            </w:tcBorders>
            <w:vAlign w:val="center"/>
          </w:tcPr>
          <w:p w:rsidR="008D6818" w:rsidRPr="003C44C8" w:rsidRDefault="008D6818">
            <w:pPr>
              <w:jc w:val="center"/>
              <w:rPr>
                <w:sz w:val="18"/>
                <w:szCs w:val="18"/>
              </w:rPr>
            </w:pPr>
          </w:p>
        </w:tc>
        <w:tc>
          <w:tcPr>
            <w:tcW w:w="7526" w:type="dxa"/>
            <w:gridSpan w:val="2"/>
            <w:vAlign w:val="center"/>
          </w:tcPr>
          <w:p w:rsidR="008D6818" w:rsidRPr="003C44C8" w:rsidRDefault="008D6818">
            <w:pPr>
              <w:rPr>
                <w:sz w:val="18"/>
                <w:szCs w:val="18"/>
              </w:rPr>
            </w:pPr>
          </w:p>
        </w:tc>
      </w:tr>
      <w:tr w:rsidR="008D6818" w:rsidTr="009C2243">
        <w:trPr>
          <w:gridAfter w:val="1"/>
          <w:wAfter w:w="117" w:type="dxa"/>
        </w:trPr>
        <w:tc>
          <w:tcPr>
            <w:tcW w:w="554" w:type="dxa"/>
          </w:tcPr>
          <w:p w:rsidR="008D6818" w:rsidRPr="005D0147" w:rsidRDefault="008D6818" w:rsidP="00AB7E1D">
            <w:pPr>
              <w:jc w:val="center"/>
              <w:rPr>
                <w:sz w:val="18"/>
                <w:szCs w:val="18"/>
                <w:rtl/>
              </w:rPr>
            </w:pPr>
          </w:p>
        </w:tc>
        <w:tc>
          <w:tcPr>
            <w:tcW w:w="1115" w:type="dxa"/>
            <w:vAlign w:val="center"/>
          </w:tcPr>
          <w:p w:rsidR="008D6818" w:rsidRPr="005D0147" w:rsidRDefault="008D6818">
            <w:pPr>
              <w:bidi w:val="0"/>
              <w:jc w:val="center"/>
              <w:rPr>
                <w:rFonts w:ascii="Arial" w:hAnsi="Arial"/>
                <w:color w:val="000000"/>
                <w:sz w:val="18"/>
                <w:szCs w:val="18"/>
              </w:rPr>
            </w:pPr>
          </w:p>
        </w:tc>
        <w:tc>
          <w:tcPr>
            <w:tcW w:w="1129" w:type="dxa"/>
            <w:gridSpan w:val="2"/>
            <w:tcBorders>
              <w:right w:val="single" w:sz="4" w:space="0" w:color="auto"/>
            </w:tcBorders>
            <w:vAlign w:val="center"/>
          </w:tcPr>
          <w:p w:rsidR="008D6818" w:rsidRPr="005D0147" w:rsidRDefault="008D6818">
            <w:pPr>
              <w:jc w:val="center"/>
              <w:rPr>
                <w:rFonts w:ascii="Arial" w:hAnsi="Arial"/>
                <w:color w:val="000000"/>
                <w:sz w:val="18"/>
                <w:szCs w:val="18"/>
              </w:rPr>
            </w:pPr>
          </w:p>
        </w:tc>
        <w:tc>
          <w:tcPr>
            <w:tcW w:w="875" w:type="dxa"/>
            <w:gridSpan w:val="2"/>
            <w:tcBorders>
              <w:left w:val="single" w:sz="4" w:space="0" w:color="auto"/>
            </w:tcBorders>
            <w:vAlign w:val="center"/>
          </w:tcPr>
          <w:p w:rsidR="008D6818" w:rsidRPr="005D0147" w:rsidRDefault="008D6818">
            <w:pPr>
              <w:jc w:val="center"/>
              <w:rPr>
                <w:rFonts w:ascii="Arial" w:hAnsi="Arial"/>
                <w:color w:val="000000"/>
                <w:sz w:val="18"/>
                <w:szCs w:val="18"/>
              </w:rPr>
            </w:pPr>
          </w:p>
        </w:tc>
        <w:tc>
          <w:tcPr>
            <w:tcW w:w="7526" w:type="dxa"/>
            <w:gridSpan w:val="2"/>
            <w:vAlign w:val="center"/>
          </w:tcPr>
          <w:p w:rsidR="008D6818" w:rsidRPr="005D0147" w:rsidRDefault="008D6818">
            <w:pPr>
              <w:rPr>
                <w:rFonts w:ascii="Arial" w:hAnsi="Arial"/>
                <w:color w:val="000000"/>
                <w:sz w:val="18"/>
                <w:szCs w:val="18"/>
              </w:rPr>
            </w:pPr>
          </w:p>
        </w:tc>
      </w:tr>
      <w:tr w:rsidR="008D6818" w:rsidTr="009C2243">
        <w:trPr>
          <w:gridAfter w:val="1"/>
          <w:wAfter w:w="117" w:type="dxa"/>
        </w:trPr>
        <w:tc>
          <w:tcPr>
            <w:tcW w:w="554" w:type="dxa"/>
          </w:tcPr>
          <w:p w:rsidR="008D6818" w:rsidRPr="005D0147" w:rsidRDefault="008D6818" w:rsidP="00AB7E1D">
            <w:pPr>
              <w:jc w:val="center"/>
              <w:rPr>
                <w:sz w:val="18"/>
                <w:szCs w:val="18"/>
                <w:rtl/>
              </w:rPr>
            </w:pPr>
          </w:p>
        </w:tc>
        <w:tc>
          <w:tcPr>
            <w:tcW w:w="1115" w:type="dxa"/>
            <w:vAlign w:val="center"/>
          </w:tcPr>
          <w:p w:rsidR="008D6818" w:rsidRPr="005D0147" w:rsidRDefault="008D6818">
            <w:pPr>
              <w:bidi w:val="0"/>
              <w:jc w:val="center"/>
              <w:rPr>
                <w:rFonts w:ascii="Arial" w:hAnsi="Arial"/>
                <w:color w:val="000000"/>
                <w:sz w:val="18"/>
                <w:szCs w:val="18"/>
              </w:rPr>
            </w:pPr>
          </w:p>
        </w:tc>
        <w:tc>
          <w:tcPr>
            <w:tcW w:w="1129" w:type="dxa"/>
            <w:gridSpan w:val="2"/>
            <w:tcBorders>
              <w:right w:val="single" w:sz="4" w:space="0" w:color="auto"/>
            </w:tcBorders>
            <w:vAlign w:val="center"/>
          </w:tcPr>
          <w:p w:rsidR="008D6818" w:rsidRPr="005D0147" w:rsidRDefault="008D6818">
            <w:pPr>
              <w:jc w:val="center"/>
              <w:rPr>
                <w:rFonts w:ascii="Arial" w:hAnsi="Arial"/>
                <w:color w:val="000000"/>
                <w:sz w:val="18"/>
                <w:szCs w:val="18"/>
              </w:rPr>
            </w:pPr>
          </w:p>
        </w:tc>
        <w:tc>
          <w:tcPr>
            <w:tcW w:w="875" w:type="dxa"/>
            <w:gridSpan w:val="2"/>
            <w:tcBorders>
              <w:left w:val="single" w:sz="4" w:space="0" w:color="auto"/>
            </w:tcBorders>
          </w:tcPr>
          <w:p w:rsidR="008D6818" w:rsidRPr="005D0147" w:rsidRDefault="008D6818" w:rsidP="00AB7E1D">
            <w:pPr>
              <w:jc w:val="center"/>
              <w:rPr>
                <w:sz w:val="18"/>
                <w:szCs w:val="18"/>
                <w:rtl/>
              </w:rPr>
            </w:pPr>
          </w:p>
        </w:tc>
        <w:tc>
          <w:tcPr>
            <w:tcW w:w="7526" w:type="dxa"/>
            <w:gridSpan w:val="2"/>
          </w:tcPr>
          <w:p w:rsidR="008D6818" w:rsidRPr="005D0147" w:rsidRDefault="008D6818" w:rsidP="00AB7E1D">
            <w:pPr>
              <w:jc w:val="center"/>
              <w:rPr>
                <w:sz w:val="18"/>
                <w:szCs w:val="18"/>
                <w:rtl/>
              </w:rPr>
            </w:pPr>
          </w:p>
        </w:tc>
      </w:tr>
      <w:tr w:rsidR="008D6818" w:rsidTr="009C2243">
        <w:trPr>
          <w:gridAfter w:val="1"/>
          <w:wAfter w:w="117" w:type="dxa"/>
        </w:trPr>
        <w:tc>
          <w:tcPr>
            <w:tcW w:w="554" w:type="dxa"/>
          </w:tcPr>
          <w:p w:rsidR="008D6818" w:rsidRPr="005D0147" w:rsidRDefault="008D6818" w:rsidP="00AB7E1D">
            <w:pPr>
              <w:jc w:val="center"/>
              <w:rPr>
                <w:sz w:val="18"/>
                <w:szCs w:val="18"/>
                <w:rtl/>
              </w:rPr>
            </w:pPr>
          </w:p>
        </w:tc>
        <w:tc>
          <w:tcPr>
            <w:tcW w:w="1115" w:type="dxa"/>
            <w:vAlign w:val="center"/>
          </w:tcPr>
          <w:p w:rsidR="008D6818" w:rsidRPr="005D0147" w:rsidRDefault="008D6818" w:rsidP="00912733">
            <w:pPr>
              <w:bidi w:val="0"/>
              <w:jc w:val="center"/>
              <w:rPr>
                <w:rFonts w:ascii="Arial" w:hAnsi="Arial"/>
                <w:color w:val="000000"/>
                <w:sz w:val="18"/>
                <w:szCs w:val="18"/>
              </w:rPr>
            </w:pPr>
          </w:p>
        </w:tc>
        <w:tc>
          <w:tcPr>
            <w:tcW w:w="1129" w:type="dxa"/>
            <w:gridSpan w:val="2"/>
            <w:tcBorders>
              <w:right w:val="single" w:sz="4" w:space="0" w:color="auto"/>
            </w:tcBorders>
            <w:vAlign w:val="center"/>
          </w:tcPr>
          <w:p w:rsidR="008D6818" w:rsidRPr="005D0147" w:rsidRDefault="008D6818">
            <w:pPr>
              <w:jc w:val="center"/>
              <w:rPr>
                <w:rFonts w:ascii="Arial" w:hAnsi="Arial"/>
                <w:color w:val="000000"/>
                <w:sz w:val="18"/>
                <w:szCs w:val="18"/>
              </w:rPr>
            </w:pPr>
          </w:p>
        </w:tc>
        <w:tc>
          <w:tcPr>
            <w:tcW w:w="875" w:type="dxa"/>
            <w:gridSpan w:val="2"/>
            <w:tcBorders>
              <w:left w:val="single" w:sz="4" w:space="0" w:color="auto"/>
            </w:tcBorders>
          </w:tcPr>
          <w:p w:rsidR="008D6818" w:rsidRPr="005D0147" w:rsidRDefault="008D6818" w:rsidP="00AB7E1D">
            <w:pPr>
              <w:jc w:val="center"/>
              <w:rPr>
                <w:sz w:val="18"/>
                <w:szCs w:val="18"/>
                <w:rtl/>
              </w:rPr>
            </w:pPr>
          </w:p>
        </w:tc>
        <w:tc>
          <w:tcPr>
            <w:tcW w:w="7526" w:type="dxa"/>
            <w:gridSpan w:val="2"/>
          </w:tcPr>
          <w:p w:rsidR="008D6818" w:rsidRPr="005D0147" w:rsidRDefault="008D6818" w:rsidP="00AB7E1D">
            <w:pPr>
              <w:jc w:val="center"/>
              <w:rPr>
                <w:sz w:val="18"/>
                <w:szCs w:val="18"/>
                <w:rtl/>
              </w:rPr>
            </w:pPr>
          </w:p>
        </w:tc>
      </w:tr>
      <w:tr w:rsidR="008D6818" w:rsidTr="009C2243">
        <w:trPr>
          <w:gridAfter w:val="1"/>
          <w:wAfter w:w="117" w:type="dxa"/>
        </w:trPr>
        <w:tc>
          <w:tcPr>
            <w:tcW w:w="554" w:type="dxa"/>
          </w:tcPr>
          <w:p w:rsidR="008D6818" w:rsidRPr="005D0147" w:rsidRDefault="008D6818" w:rsidP="00AB7E1D">
            <w:pPr>
              <w:jc w:val="center"/>
              <w:rPr>
                <w:sz w:val="18"/>
                <w:szCs w:val="18"/>
                <w:rtl/>
              </w:rPr>
            </w:pPr>
          </w:p>
        </w:tc>
        <w:tc>
          <w:tcPr>
            <w:tcW w:w="1115" w:type="dxa"/>
            <w:vAlign w:val="center"/>
          </w:tcPr>
          <w:p w:rsidR="008D6818" w:rsidRPr="005D0147" w:rsidRDefault="008D6818">
            <w:pPr>
              <w:bidi w:val="0"/>
              <w:jc w:val="center"/>
              <w:rPr>
                <w:rFonts w:ascii="Arial" w:hAnsi="Arial"/>
                <w:color w:val="000000"/>
                <w:sz w:val="18"/>
                <w:szCs w:val="18"/>
              </w:rPr>
            </w:pPr>
          </w:p>
        </w:tc>
        <w:tc>
          <w:tcPr>
            <w:tcW w:w="1129" w:type="dxa"/>
            <w:gridSpan w:val="2"/>
            <w:tcBorders>
              <w:right w:val="single" w:sz="4" w:space="0" w:color="auto"/>
            </w:tcBorders>
            <w:vAlign w:val="center"/>
          </w:tcPr>
          <w:p w:rsidR="008D6818" w:rsidRPr="005D0147" w:rsidRDefault="008D6818">
            <w:pPr>
              <w:jc w:val="center"/>
              <w:rPr>
                <w:rFonts w:ascii="Arial" w:hAnsi="Arial"/>
                <w:color w:val="000000"/>
                <w:sz w:val="18"/>
                <w:szCs w:val="18"/>
              </w:rPr>
            </w:pPr>
          </w:p>
        </w:tc>
        <w:tc>
          <w:tcPr>
            <w:tcW w:w="875" w:type="dxa"/>
            <w:gridSpan w:val="2"/>
            <w:tcBorders>
              <w:left w:val="single" w:sz="4" w:space="0" w:color="auto"/>
            </w:tcBorders>
          </w:tcPr>
          <w:p w:rsidR="008D6818" w:rsidRPr="005D0147" w:rsidRDefault="008D6818" w:rsidP="00AB7E1D">
            <w:pPr>
              <w:jc w:val="center"/>
              <w:rPr>
                <w:sz w:val="18"/>
                <w:szCs w:val="18"/>
                <w:rtl/>
              </w:rPr>
            </w:pPr>
          </w:p>
        </w:tc>
        <w:tc>
          <w:tcPr>
            <w:tcW w:w="7526" w:type="dxa"/>
            <w:gridSpan w:val="2"/>
          </w:tcPr>
          <w:p w:rsidR="008D6818" w:rsidRPr="005D0147" w:rsidRDefault="008D6818" w:rsidP="00AB7E1D">
            <w:pPr>
              <w:jc w:val="center"/>
              <w:rPr>
                <w:sz w:val="18"/>
                <w:szCs w:val="18"/>
                <w:rtl/>
              </w:rPr>
            </w:pPr>
          </w:p>
        </w:tc>
      </w:tr>
      <w:tr w:rsidR="008D6818" w:rsidTr="009C2243">
        <w:trPr>
          <w:gridAfter w:val="1"/>
          <w:wAfter w:w="117" w:type="dxa"/>
        </w:trPr>
        <w:tc>
          <w:tcPr>
            <w:tcW w:w="554" w:type="dxa"/>
          </w:tcPr>
          <w:p w:rsidR="008D6818" w:rsidRPr="005D0147" w:rsidRDefault="008D6818" w:rsidP="00AB7E1D">
            <w:pPr>
              <w:jc w:val="center"/>
              <w:rPr>
                <w:sz w:val="18"/>
                <w:szCs w:val="18"/>
                <w:rtl/>
              </w:rPr>
            </w:pPr>
          </w:p>
        </w:tc>
        <w:tc>
          <w:tcPr>
            <w:tcW w:w="1115" w:type="dxa"/>
            <w:vAlign w:val="center"/>
          </w:tcPr>
          <w:p w:rsidR="008D6818" w:rsidRPr="005D0147" w:rsidRDefault="008D6818" w:rsidP="00912733">
            <w:pPr>
              <w:bidi w:val="0"/>
              <w:jc w:val="center"/>
              <w:rPr>
                <w:rFonts w:ascii="Arial" w:hAnsi="Arial"/>
                <w:color w:val="000000"/>
                <w:sz w:val="18"/>
                <w:szCs w:val="18"/>
              </w:rPr>
            </w:pPr>
          </w:p>
        </w:tc>
        <w:tc>
          <w:tcPr>
            <w:tcW w:w="1129" w:type="dxa"/>
            <w:gridSpan w:val="2"/>
            <w:tcBorders>
              <w:right w:val="single" w:sz="4" w:space="0" w:color="auto"/>
            </w:tcBorders>
            <w:vAlign w:val="center"/>
          </w:tcPr>
          <w:p w:rsidR="008D6818" w:rsidRPr="005D0147" w:rsidRDefault="008D6818">
            <w:pPr>
              <w:jc w:val="center"/>
              <w:rPr>
                <w:rFonts w:ascii="Arial" w:hAnsi="Arial"/>
                <w:color w:val="000000"/>
                <w:sz w:val="18"/>
                <w:szCs w:val="18"/>
              </w:rPr>
            </w:pPr>
          </w:p>
        </w:tc>
        <w:tc>
          <w:tcPr>
            <w:tcW w:w="875" w:type="dxa"/>
            <w:gridSpan w:val="2"/>
            <w:tcBorders>
              <w:left w:val="single" w:sz="4" w:space="0" w:color="auto"/>
            </w:tcBorders>
          </w:tcPr>
          <w:p w:rsidR="008D6818" w:rsidRPr="005D0147" w:rsidRDefault="008D6818" w:rsidP="00AB7E1D">
            <w:pPr>
              <w:jc w:val="center"/>
              <w:rPr>
                <w:sz w:val="18"/>
                <w:szCs w:val="18"/>
                <w:rtl/>
              </w:rPr>
            </w:pPr>
          </w:p>
        </w:tc>
        <w:tc>
          <w:tcPr>
            <w:tcW w:w="7526" w:type="dxa"/>
            <w:gridSpan w:val="2"/>
          </w:tcPr>
          <w:p w:rsidR="008D6818" w:rsidRPr="005D0147" w:rsidRDefault="008D6818" w:rsidP="00AB7E1D">
            <w:pPr>
              <w:jc w:val="center"/>
              <w:rPr>
                <w:sz w:val="18"/>
                <w:szCs w:val="18"/>
                <w:rtl/>
              </w:rPr>
            </w:pPr>
          </w:p>
        </w:tc>
      </w:tr>
      <w:tr w:rsidR="008D6818" w:rsidTr="009C2243">
        <w:trPr>
          <w:gridAfter w:val="1"/>
          <w:wAfter w:w="117" w:type="dxa"/>
        </w:trPr>
        <w:tc>
          <w:tcPr>
            <w:tcW w:w="554" w:type="dxa"/>
          </w:tcPr>
          <w:p w:rsidR="008D6818" w:rsidRPr="005D0147" w:rsidRDefault="008D6818" w:rsidP="00AB7E1D">
            <w:pPr>
              <w:jc w:val="center"/>
              <w:rPr>
                <w:sz w:val="18"/>
                <w:szCs w:val="18"/>
                <w:rtl/>
              </w:rPr>
            </w:pPr>
          </w:p>
        </w:tc>
        <w:tc>
          <w:tcPr>
            <w:tcW w:w="1115" w:type="dxa"/>
          </w:tcPr>
          <w:p w:rsidR="008D6818" w:rsidRPr="005D0147" w:rsidRDefault="008D6818" w:rsidP="00AB7E1D">
            <w:pPr>
              <w:jc w:val="center"/>
              <w:rPr>
                <w:sz w:val="18"/>
                <w:szCs w:val="18"/>
                <w:rtl/>
              </w:rPr>
            </w:pPr>
          </w:p>
        </w:tc>
        <w:tc>
          <w:tcPr>
            <w:tcW w:w="1129" w:type="dxa"/>
            <w:gridSpan w:val="2"/>
            <w:tcBorders>
              <w:right w:val="single" w:sz="4" w:space="0" w:color="auto"/>
            </w:tcBorders>
            <w:vAlign w:val="center"/>
          </w:tcPr>
          <w:p w:rsidR="008D6818" w:rsidRPr="005D0147" w:rsidRDefault="008D6818">
            <w:pPr>
              <w:jc w:val="center"/>
              <w:rPr>
                <w:rFonts w:ascii="Arial" w:hAnsi="Arial"/>
                <w:color w:val="000000"/>
                <w:sz w:val="18"/>
                <w:szCs w:val="18"/>
              </w:rPr>
            </w:pPr>
          </w:p>
        </w:tc>
        <w:tc>
          <w:tcPr>
            <w:tcW w:w="875" w:type="dxa"/>
            <w:gridSpan w:val="2"/>
            <w:tcBorders>
              <w:left w:val="single" w:sz="4" w:space="0" w:color="auto"/>
            </w:tcBorders>
          </w:tcPr>
          <w:p w:rsidR="008D6818" w:rsidRPr="005D0147" w:rsidRDefault="008D6818" w:rsidP="00AB7E1D">
            <w:pPr>
              <w:jc w:val="center"/>
              <w:rPr>
                <w:sz w:val="18"/>
                <w:szCs w:val="18"/>
                <w:rtl/>
              </w:rPr>
            </w:pPr>
          </w:p>
        </w:tc>
        <w:tc>
          <w:tcPr>
            <w:tcW w:w="7526" w:type="dxa"/>
            <w:gridSpan w:val="2"/>
          </w:tcPr>
          <w:p w:rsidR="008D6818" w:rsidRPr="005D0147" w:rsidRDefault="008D6818" w:rsidP="00AB7E1D">
            <w:pPr>
              <w:jc w:val="center"/>
              <w:rPr>
                <w:sz w:val="18"/>
                <w:szCs w:val="18"/>
                <w:rtl/>
              </w:rPr>
            </w:pPr>
          </w:p>
        </w:tc>
      </w:tr>
      <w:tr w:rsidR="009C2243" w:rsidRPr="009C2243" w:rsidTr="009C2243">
        <w:trPr>
          <w:gridBefore w:val="6"/>
          <w:gridAfter w:val="1"/>
          <w:wBefore w:w="3673" w:type="dxa"/>
          <w:wAfter w:w="117" w:type="dxa"/>
          <w:trHeight w:val="533"/>
        </w:trPr>
        <w:tc>
          <w:tcPr>
            <w:tcW w:w="7526" w:type="dxa"/>
            <w:gridSpan w:val="2"/>
            <w:tcBorders>
              <w:top w:val="nil"/>
              <w:left w:val="nil"/>
              <w:bottom w:val="nil"/>
              <w:right w:val="nil"/>
            </w:tcBorders>
            <w:shd w:val="clear" w:color="auto" w:fill="auto"/>
          </w:tcPr>
          <w:p w:rsidR="009C2243" w:rsidRPr="009C2243" w:rsidRDefault="009C2243" w:rsidP="00800AE2">
            <w:pPr>
              <w:tabs>
                <w:tab w:val="left" w:pos="4563"/>
              </w:tabs>
              <w:rPr>
                <w:color w:val="FFFFFF" w:themeColor="background1"/>
                <w:sz w:val="18"/>
                <w:szCs w:val="18"/>
                <w:rtl/>
              </w:rPr>
            </w:pPr>
            <w:r w:rsidRPr="009C2243">
              <w:rPr>
                <w:color w:val="FFFFFF" w:themeColor="background1"/>
                <w:sz w:val="18"/>
                <w:szCs w:val="18"/>
                <w:rtl/>
              </w:rPr>
              <w:lastRenderedPageBreak/>
              <w:tab/>
            </w:r>
          </w:p>
        </w:tc>
      </w:tr>
      <w:tr w:rsidR="00800AE2" w:rsidRPr="009C2243" w:rsidTr="009C2243">
        <w:trPr>
          <w:gridBefore w:val="3"/>
          <w:wBefore w:w="1690" w:type="dxa"/>
        </w:trPr>
        <w:tc>
          <w:tcPr>
            <w:tcW w:w="1136" w:type="dxa"/>
            <w:gridSpan w:val="2"/>
            <w:tcBorders>
              <w:top w:val="nil"/>
              <w:left w:val="nil"/>
              <w:bottom w:val="nil"/>
              <w:right w:val="nil"/>
            </w:tcBorders>
            <w:vAlign w:val="center"/>
          </w:tcPr>
          <w:p w:rsidR="00800AE2" w:rsidRPr="009C2243" w:rsidRDefault="00800AE2">
            <w:pPr>
              <w:jc w:val="center"/>
              <w:rPr>
                <w:rFonts w:ascii="Arial" w:hAnsi="Arial"/>
                <w:color w:val="FFFFFF" w:themeColor="background1"/>
                <w:sz w:val="18"/>
                <w:szCs w:val="18"/>
              </w:rPr>
            </w:pPr>
          </w:p>
        </w:tc>
        <w:tc>
          <w:tcPr>
            <w:tcW w:w="5927" w:type="dxa"/>
            <w:gridSpan w:val="2"/>
            <w:tcBorders>
              <w:top w:val="nil"/>
              <w:left w:val="nil"/>
              <w:bottom w:val="nil"/>
              <w:right w:val="nil"/>
            </w:tcBorders>
            <w:shd w:val="clear" w:color="auto" w:fill="auto"/>
          </w:tcPr>
          <w:p w:rsidR="00800AE2" w:rsidRPr="009C2243" w:rsidRDefault="00800AE2" w:rsidP="00AB7E1D">
            <w:pPr>
              <w:jc w:val="center"/>
              <w:rPr>
                <w:color w:val="FFFFFF" w:themeColor="background1"/>
                <w:sz w:val="18"/>
                <w:szCs w:val="18"/>
                <w:rtl/>
              </w:rPr>
            </w:pPr>
          </w:p>
        </w:tc>
        <w:tc>
          <w:tcPr>
            <w:tcW w:w="2563" w:type="dxa"/>
            <w:gridSpan w:val="2"/>
            <w:tcBorders>
              <w:top w:val="nil"/>
              <w:left w:val="nil"/>
              <w:right w:val="nil"/>
            </w:tcBorders>
            <w:shd w:val="clear" w:color="auto" w:fill="auto"/>
          </w:tcPr>
          <w:p w:rsidR="00800AE2" w:rsidRPr="009C2243" w:rsidRDefault="00800AE2" w:rsidP="00AB7E1D">
            <w:pPr>
              <w:jc w:val="center"/>
              <w:rPr>
                <w:color w:val="FFFFFF" w:themeColor="background1"/>
                <w:sz w:val="18"/>
                <w:szCs w:val="18"/>
                <w:rtl/>
              </w:rPr>
            </w:pPr>
          </w:p>
        </w:tc>
      </w:tr>
      <w:tr w:rsidR="00800AE2" w:rsidRPr="009C2243" w:rsidTr="009C2243">
        <w:trPr>
          <w:gridBefore w:val="1"/>
          <w:gridAfter w:val="1"/>
          <w:wBefore w:w="554" w:type="dxa"/>
          <w:wAfter w:w="117" w:type="dxa"/>
          <w:trHeight w:val="277"/>
        </w:trPr>
        <w:tc>
          <w:tcPr>
            <w:tcW w:w="2244" w:type="dxa"/>
            <w:gridSpan w:val="3"/>
            <w:tcBorders>
              <w:top w:val="nil"/>
              <w:left w:val="nil"/>
              <w:bottom w:val="nil"/>
            </w:tcBorders>
            <w:vAlign w:val="center"/>
          </w:tcPr>
          <w:p w:rsidR="00800AE2" w:rsidRPr="009C2243" w:rsidRDefault="00800AE2" w:rsidP="00AB7E1D">
            <w:pPr>
              <w:jc w:val="center"/>
              <w:rPr>
                <w:color w:val="FFFFFF" w:themeColor="background1"/>
                <w:sz w:val="18"/>
                <w:szCs w:val="18"/>
                <w:rtl/>
              </w:rPr>
            </w:pPr>
          </w:p>
        </w:tc>
        <w:tc>
          <w:tcPr>
            <w:tcW w:w="8401" w:type="dxa"/>
            <w:gridSpan w:val="4"/>
            <w:tcBorders>
              <w:top w:val="nil"/>
              <w:bottom w:val="nil"/>
              <w:right w:val="nil"/>
            </w:tcBorders>
            <w:shd w:val="clear" w:color="auto" w:fill="auto"/>
          </w:tcPr>
          <w:p w:rsidR="00800AE2" w:rsidRPr="009C2243" w:rsidRDefault="00800AE2" w:rsidP="00AB7E1D">
            <w:pPr>
              <w:jc w:val="center"/>
              <w:rPr>
                <w:color w:val="FFFFFF" w:themeColor="background1"/>
                <w:sz w:val="18"/>
                <w:szCs w:val="18"/>
                <w:rtl/>
              </w:rPr>
            </w:pPr>
          </w:p>
        </w:tc>
      </w:tr>
    </w:tbl>
    <w:p w:rsidR="00AB7E1D" w:rsidRPr="009C2243" w:rsidRDefault="00AB7E1D" w:rsidP="00AB7E1D">
      <w:pPr>
        <w:jc w:val="center"/>
        <w:rPr>
          <w:color w:val="FFFFFF" w:themeColor="background1"/>
        </w:rPr>
      </w:pPr>
    </w:p>
    <w:sectPr w:rsidR="00AB7E1D" w:rsidRPr="009C2243" w:rsidSect="00927152">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8A" w:rsidRDefault="006F038A" w:rsidP="00800AE2">
      <w:pPr>
        <w:spacing w:after="0" w:line="240" w:lineRule="auto"/>
      </w:pPr>
      <w:r>
        <w:separator/>
      </w:r>
    </w:p>
  </w:endnote>
  <w:endnote w:type="continuationSeparator" w:id="0">
    <w:p w:rsidR="006F038A" w:rsidRDefault="006F038A" w:rsidP="0080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8A" w:rsidRDefault="006F038A" w:rsidP="00800AE2">
      <w:pPr>
        <w:spacing w:after="0" w:line="240" w:lineRule="auto"/>
      </w:pPr>
      <w:r>
        <w:separator/>
      </w:r>
    </w:p>
  </w:footnote>
  <w:footnote w:type="continuationSeparator" w:id="0">
    <w:p w:rsidR="006F038A" w:rsidRDefault="006F038A" w:rsidP="00800A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AB7E1D"/>
    <w:rsid w:val="00094994"/>
    <w:rsid w:val="0015215C"/>
    <w:rsid w:val="001A5414"/>
    <w:rsid w:val="0026099C"/>
    <w:rsid w:val="002A03B5"/>
    <w:rsid w:val="002A7DFD"/>
    <w:rsid w:val="003A245B"/>
    <w:rsid w:val="003C44C8"/>
    <w:rsid w:val="003D6534"/>
    <w:rsid w:val="003F2BF8"/>
    <w:rsid w:val="004D0977"/>
    <w:rsid w:val="00507D0B"/>
    <w:rsid w:val="005511F5"/>
    <w:rsid w:val="005D0147"/>
    <w:rsid w:val="005E468C"/>
    <w:rsid w:val="005E78D8"/>
    <w:rsid w:val="00635947"/>
    <w:rsid w:val="006F038A"/>
    <w:rsid w:val="007263E3"/>
    <w:rsid w:val="00774E15"/>
    <w:rsid w:val="00800AE2"/>
    <w:rsid w:val="008D6818"/>
    <w:rsid w:val="008E5A9B"/>
    <w:rsid w:val="008E61DE"/>
    <w:rsid w:val="00927152"/>
    <w:rsid w:val="009C2243"/>
    <w:rsid w:val="00A82667"/>
    <w:rsid w:val="00AB7E1D"/>
    <w:rsid w:val="00BC36A3"/>
    <w:rsid w:val="00BD7609"/>
    <w:rsid w:val="00DF3AAA"/>
    <w:rsid w:val="00E93DF6"/>
    <w:rsid w:val="00F83668"/>
    <w:rsid w:val="00FF0D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Nazanin"/>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E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0A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0AE2"/>
  </w:style>
  <w:style w:type="paragraph" w:styleId="Footer">
    <w:name w:val="footer"/>
    <w:basedOn w:val="Normal"/>
    <w:link w:val="FooterChar"/>
    <w:uiPriority w:val="99"/>
    <w:semiHidden/>
    <w:unhideWhenUsed/>
    <w:rsid w:val="00800A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0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Habibzadeh</dc:creator>
  <cp:lastModifiedBy>Habibzadeh</cp:lastModifiedBy>
  <cp:revision>16</cp:revision>
  <cp:lastPrinted>2016-03-07T06:55:00Z</cp:lastPrinted>
  <dcterms:created xsi:type="dcterms:W3CDTF">2016-03-07T06:34:00Z</dcterms:created>
  <dcterms:modified xsi:type="dcterms:W3CDTF">2016-12-18T08:49:00Z</dcterms:modified>
</cp:coreProperties>
</file>